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2026</w:t>
      </w:r>
    </w:p>
    <w:p>
      <w:pPr>
        <w:spacing w:after="0" w:line="31"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The Williams Companies,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20" w:type="dxa"/>
        <w:tblCellMar>
          <w:top w:w="0" w:type="dxa"/>
          <w:left w:w="0" w:type="dxa"/>
          <w:bottom w:w="0" w:type="dxa"/>
          <w:right w:w="0" w:type="dxa"/>
        </w:tblCellMar>
      </w:tblPr>
      <w:tr>
        <w:trPr>
          <w:trHeight w:val="214"/>
        </w:trPr>
        <w:tc>
          <w:tcPr>
            <w:tcW w:w="390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73-0569878</w:t>
            </w:r>
          </w:p>
        </w:tc>
      </w:tr>
      <w:tr>
        <w:trPr>
          <w:trHeight w:val="148"/>
        </w:trPr>
        <w:tc>
          <w:tcPr>
            <w:tcW w:w="3900" w:type="dxa"/>
            <w:vAlign w:val="bottom"/>
          </w:tcPr>
          <w:p>
            <w:pPr>
              <w:jc w:val="center"/>
              <w:ind w:right="19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Williams Center</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Tulsa, Oklahoma 74172</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Williams Companies, Inc. 2007 Incentive Plan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Williams Companies, Inc. Amended and Restated 2007 Employee Stock Purchase Plan</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Robert E. Riley, Jr.</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Vice President and Assistant General Counsel – Corporate Secretary</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Williams Center, Suite 4900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Tulsa, Oklahoma 74172-0172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800-945-5426 (800-WILLIAMS)</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The Williams Companies, Inc., a Delaware corporation (“Williams” or the “Registrant”), relating to (i) 49,500,000 shares of the Registrant’s common stock, par value $1.00 per share (the “Common Stock”), that may be issued to eligible participants in accordance with the terms of the Registrant’s 2007 Incentive Plan (the “Incentive Plan”), including 4,500,000 shares of Common Stock that may again become available for issuance under the Incentive Plan as a result of outstanding awards that are forfeited, settled in cash or otherwise terminate without the delivery of shares pursuant to the terms of the Incentive Plan, and (ii) 3,600,000 shares of Common Stock that may be issued to eligible employees in accordance with the terms of the Registrant’s Amended and Restated 2007 Employee Stock Purchase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this Registration Statement will be delivered to eligible participants as specified by Rule 428(b)(1) of the Securities Act of 1933, as amended (the “Securities Act”). In accordance with the instructions to Part I of Form S-8, such documents are not required to be, and are not, filed with the Securities and Exchange Commission (the “SEC”) either as part of this Registration Statement or as prospectuses or prospectus supplements pursuant to Rule 424 of the Securities Act. Such documents and the documents incorporated by reference in this Registration Statement pursuant to Item 3 of Part II of Form S-8, taken together, constitute a prospectus that meets the requirements of Section 10(a) of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which have previously been filed by the Registrant with the SEC pursuant to the Securities Act and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 (the “Exchange Act”), are incorporated by reference herein and shall be deemed to be a part hereof:</w:t>
      </w:r>
    </w:p>
    <w:p>
      <w:pPr>
        <w:spacing w:after="0" w:line="112" w:lineRule="exact"/>
        <w:rPr>
          <w:sz w:val="20"/>
          <w:szCs w:val="20"/>
          <w:color w:val="auto"/>
        </w:rPr>
      </w:pPr>
    </w:p>
    <w:p>
      <w:pPr>
        <w:ind w:left="960" w:right="6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Securities and Exchange Commission (the “SEC”) on February 24, 2026;</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May 4, 2026;</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21">
        <w:r>
          <w:rPr>
            <w:rFonts w:ascii="Times New Roman" w:cs="Times New Roman" w:eastAsia="Times New Roman" w:hAnsi="Times New Roman"/>
            <w:sz w:val="18"/>
            <w:szCs w:val="18"/>
            <w:u w:val="single" w:color="auto"/>
            <w:color w:val="0000EE"/>
          </w:rPr>
          <w:t>January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8.01 only), </w:t>
      </w:r>
      <w:hyperlink r:id="rId22">
        <w:r>
          <w:rPr>
            <w:rFonts w:ascii="Times New Roman" w:cs="Times New Roman" w:eastAsia="Times New Roman" w:hAnsi="Times New Roman"/>
            <w:sz w:val="18"/>
            <w:szCs w:val="18"/>
            <w:u w:val="single" w:color="auto"/>
            <w:color w:val="0000EE"/>
          </w:rPr>
          <w:t>January 8,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auto"/>
        </w:rPr>
        <w:t xml:space="preserve"> and </w:t>
      </w:r>
      <w:hyperlink r:id="rId24">
        <w:r>
          <w:rPr>
            <w:rFonts w:ascii="Times New Roman" w:cs="Times New Roman" w:eastAsia="Times New Roman" w:hAnsi="Times New Roman"/>
            <w:sz w:val="18"/>
            <w:szCs w:val="18"/>
            <w:u w:val="single" w:color="auto"/>
            <w:color w:val="0000EE"/>
          </w:rPr>
          <w:t>May 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(Item 5.02 and Item 5.07 only); and</w:t>
      </w:r>
    </w:p>
    <w:p>
      <w:pPr>
        <w:spacing w:after="0" w:line="67"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$1.00 par value, contained in </w:t>
      </w:r>
      <w:hyperlink r:id="rId25">
        <w:r>
          <w:rPr>
            <w:rFonts w:ascii="Times New Roman" w:cs="Times New Roman" w:eastAsia="Times New Roman" w:hAnsi="Times New Roman"/>
            <w:sz w:val="18"/>
            <w:szCs w:val="18"/>
            <w:u w:val="single" w:color="auto"/>
            <w:color w:val="0000EE"/>
          </w:rPr>
          <w:t>Exhibit 4.35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2022, filed with the SEC on February 27, 2023, including any amendments or reports filed with the SEC for the purpose of updating such description.</w:t>
      </w:r>
    </w:p>
    <w:p>
      <w:pPr>
        <w:spacing w:after="0" w:line="176" w:lineRule="exact"/>
        <w:rPr>
          <w:rFonts w:ascii="Times New Roman" w:cs="Times New Roman" w:eastAsia="Times New Roman" w:hAnsi="Times New Roman"/>
          <w:sz w:val="18"/>
          <w:szCs w:val="18"/>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with the SEC pursuant to Sections 13(a), 13(c), 14 and 15(d) of the Exchange Act, prior to the filing of a post-effective amendment to this Registration Statement which indicate that all securities offered hereby have been sold or which deregisters all securities remaining unsold, shall be deemed to be incorporated by reference in this Registration Statement and to be a part hereof from the date of filing of such documents. Notwithstanding the foregoing, unless specifically stated to the contrary, none of the information that the Registrant discloses under Items 2.02 or 7.01 of any Current Report on Form 8-K that it may from time to time furnish to the SEC will be incorporated by reference into, or otherwise included in, this Registration Statement.</w:t>
      </w:r>
    </w:p>
    <w:p>
      <w:pPr>
        <w:spacing w:after="0" w:line="187" w:lineRule="exact"/>
        <w:rPr>
          <w:rFonts w:ascii="Times New Roman" w:cs="Times New Roman" w:eastAsia="Times New Roman" w:hAnsi="Times New Roman"/>
          <w:sz w:val="18"/>
          <w:szCs w:val="18"/>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 Indemnification of Directors and Officers.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Williams, a Delaware corporation, is empowered by Section 145 of the Delaware General Corporation Law (“DGCL”), subject to the procedures and limitations stated therein, to indemnify any person against expenses (including attorneys’ fees), judgments, fines, and amounts paid in settlement actually and reasonably incurred by them in connection with any threatened, pending, or completed action, suit, or proceeding in which such person is made party by reason of their being or having been a director, officer, employee, or agent of Williams. The statute provides that indemnification pursuant to its provisions is not exclusive of other rights of indemnification to which a person may be entitled under any bylaw, agreement, vote of stockholders or disinterested directors, or otherwise. Williams’ Amended and Restated By-Laws provide for indemnification by Williams of its directors and officers to the fullest extent permitted by the DGCL. In addition, Williams has entered into indemnity agreements with its directors and certain officers providing for, among other things, the indemnification of and the advancing of expenses to such individuals to the fullest extent permitted by law, and to the extent insurance is maintained, for the continued coverage of such individuals.</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Policies of insurance are maintained by Willaims under which its directors and officers are insured, within the limits and subject to the limitations of the policies, against certain expenses in connection with the defense of actions, suits, or proceedings, and certain liabilities which might be imposed as a result of such actions, suits or proceedings, to which they are parties by reason of being or having been such directors or officers.</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 or officer’s duty of loyalty to the corporation or its stockholders, (ii) for acts or omissions not in good faith or which involve intentional misconduct or a knowing violation of law, (iii) with respect to any director, in respect of certain unlawful dividend payments or stock redemptions or repurchases, (iv) for any transaction from which the director derived an improper personal benefit, or (v) with respect to any officer, in any action by or in the right of the corporation. Williams’ Amended and Restated Certificate of Incorporation provides that, to the fullest extent provided by the DGCL, no director shall be personally liable to Williams or its stockholders for monetary damages for a breach of fiduciary duty as a director.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4"/>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360" w:type="dxa"/>
            <w:vAlign w:val="bottom"/>
            <w:gridSpan w:val="10"/>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4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Certificate of Incorporation (filed on May 26, 2010, as Exhibit 3.(i)1 to the Registrant’s Current Report on</w:t>
              </w:r>
            </w:hyperlink>
          </w:p>
        </w:tc>
        <w:tc>
          <w:tcPr>
            <w:tcW w:w="520" w:type="dxa"/>
            <w:vAlign w:val="bottom"/>
            <w:gridSpan w:val="3"/>
          </w:tcPr>
          <w:p>
            <w:pPr>
              <w:spacing w:after="0"/>
              <w:rPr>
                <w:sz w:val="23"/>
                <w:szCs w:val="23"/>
                <w:color w:val="auto"/>
              </w:rPr>
            </w:pPr>
          </w:p>
        </w:tc>
      </w:tr>
      <w:tr>
        <w:trPr>
          <w:trHeight w:val="196"/>
        </w:trPr>
        <w:tc>
          <w:tcPr>
            <w:tcW w:w="920" w:type="dxa"/>
            <w:vAlign w:val="bottom"/>
          </w:tcPr>
          <w:p>
            <w:pPr>
              <w:spacing w:after="0"/>
              <w:rPr>
                <w:sz w:val="17"/>
                <w:szCs w:val="17"/>
                <w:color w:val="auto"/>
              </w:rPr>
            </w:pPr>
          </w:p>
        </w:tc>
        <w:tc>
          <w:tcPr>
            <w:tcW w:w="2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8-K, File No. 001-04174).</w:t>
              </w:r>
            </w:hyperlink>
          </w:p>
        </w:tc>
        <w:tc>
          <w:tcPr>
            <w:tcW w:w="7600" w:type="dxa"/>
            <w:vAlign w:val="bottom"/>
            <w:gridSpan w:val="12"/>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9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Certificate of Amendment dated August 10, 2018 (filed as Exhibit 3.1 to the Registrant’s Current Report on Form 8-K filed on August 10,</w:t>
              </w:r>
            </w:hyperlink>
          </w:p>
        </w:tc>
      </w:tr>
      <w:tr>
        <w:trPr>
          <w:trHeight w:val="196"/>
        </w:trPr>
        <w:tc>
          <w:tcPr>
            <w:tcW w:w="920" w:type="dxa"/>
            <w:vAlign w:val="bottom"/>
          </w:tcPr>
          <w:p>
            <w:pPr>
              <w:spacing w:after="0"/>
              <w:rPr>
                <w:sz w:val="17"/>
                <w:szCs w:val="17"/>
                <w:color w:val="auto"/>
              </w:rPr>
            </w:pPr>
          </w:p>
        </w:tc>
        <w:tc>
          <w:tcPr>
            <w:tcW w:w="1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2018, File No. 001-04174).</w:t>
              </w:r>
            </w:hyperlink>
          </w:p>
        </w:tc>
        <w:tc>
          <w:tcPr>
            <w:tcW w:w="7960" w:type="dxa"/>
            <w:vAlign w:val="bottom"/>
            <w:gridSpan w:val="1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940" w:type="dxa"/>
            <w:vAlign w:val="bottom"/>
            <w:gridSpan w:val="15"/>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By-laws of The Williams Companies, Inc., as last amended effective October 25, 2022 (filed on October 31, 2022, as Exhibit 3.4 to the</w:t>
              </w:r>
            </w:hyperlink>
          </w:p>
        </w:tc>
      </w:tr>
      <w:tr>
        <w:trPr>
          <w:trHeight w:val="196"/>
        </w:trPr>
        <w:tc>
          <w:tcPr>
            <w:tcW w:w="92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Registrant’s Quarterly Report on Form 10-Q, File No. 001-04174).</w:t>
              </w:r>
            </w:hyperlink>
          </w:p>
        </w:tc>
        <w:tc>
          <w:tcPr>
            <w:tcW w:w="4940" w:type="dxa"/>
            <w:vAlign w:val="bottom"/>
            <w:tcBorders>
              <w:top w:val="single" w:sz="8" w:color="0000EE"/>
            </w:tcBorders>
            <w:gridSpan w:val="7"/>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Gibson, Dunn &amp; Crutcher LLP.</w:t>
            </w:r>
          </w:p>
        </w:tc>
        <w:tc>
          <w:tcPr>
            <w:tcW w:w="6840" w:type="dxa"/>
            <w:vAlign w:val="bottom"/>
            <w:gridSpan w:val="11"/>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Consents of Ernst &amp; Young LLP, independent registered public accounting firm.</w:t>
            </w: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9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Gibson, Dunn &amp; Crutcher LLP (included in Exhibit 5.1).</w:t>
            </w:r>
          </w:p>
        </w:tc>
        <w:tc>
          <w:tcPr>
            <w:tcW w:w="840" w:type="dxa"/>
            <w:vAlign w:val="bottom"/>
            <w:tcBorders>
              <w:top w:val="single" w:sz="8" w:color="0000EE"/>
            </w:tcBorders>
          </w:tcPr>
          <w:p>
            <w:pPr>
              <w:spacing w:after="0"/>
              <w:rPr>
                <w:sz w:val="24"/>
                <w:szCs w:val="24"/>
                <w:color w:val="auto"/>
              </w:rPr>
            </w:pPr>
          </w:p>
        </w:tc>
        <w:tc>
          <w:tcPr>
            <w:tcW w:w="4160" w:type="dxa"/>
            <w:vAlign w:val="bottom"/>
            <w:gridSpan w:val="6"/>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3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The Williams Companies, Inc. Power of Attorney (included on signature pages hereto).</w:t>
            </w:r>
          </w:p>
        </w:tc>
        <w:tc>
          <w:tcPr>
            <w:tcW w:w="3640" w:type="dxa"/>
            <w:vAlign w:val="bottom"/>
            <w:gridSpan w:val="5"/>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940" w:type="dxa"/>
            <w:vAlign w:val="bottom"/>
            <w:gridSpan w:val="15"/>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The Williams Companies, Inc. 2007 Incentive Plan, as amended and restated effective April 28, 2026, filed as Exhibit 10.1 to the</w:t>
              </w:r>
            </w:hyperlink>
          </w:p>
        </w:tc>
      </w:tr>
      <w:tr>
        <w:trPr>
          <w:trHeight w:val="196"/>
        </w:trPr>
        <w:tc>
          <w:tcPr>
            <w:tcW w:w="920" w:type="dxa"/>
            <w:vAlign w:val="bottom"/>
          </w:tcPr>
          <w:p>
            <w:pPr>
              <w:spacing w:after="0"/>
              <w:rPr>
                <w:sz w:val="17"/>
                <w:szCs w:val="17"/>
                <w:color w:val="auto"/>
              </w:rPr>
            </w:pPr>
          </w:p>
        </w:tc>
        <w:tc>
          <w:tcPr>
            <w:tcW w:w="93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Registrant’s Current Report on Form 8-K filed on May 4, 2026.</w:t>
              </w:r>
            </w:hyperlink>
          </w:p>
        </w:tc>
        <w:tc>
          <w:tcPr>
            <w:tcW w:w="60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9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The Williams Companies, Inc. Amended and Restated 2007 Employee Stock Purchase Plan, filed as Appendix C to the Registrant’s</w:t>
              </w:r>
            </w:hyperlink>
          </w:p>
        </w:tc>
        <w:tc>
          <w:tcPr>
            <w:tcW w:w="4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Definitive Proxy Statement filed with the SEC on March 18, 2026.</w:t>
              </w:r>
            </w:hyperlink>
          </w:p>
        </w:tc>
        <w:tc>
          <w:tcPr>
            <w:tcW w:w="5120" w:type="dxa"/>
            <w:vAlign w:val="bottom"/>
            <w:gridSpan w:val="9"/>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99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9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80"/>
          </w:cols>
          <w:pgMar w:left="440" w:top="266"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80" w:hanging="439"/>
        <w:spacing w:after="0" w:line="255" w:lineRule="auto"/>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right="60" w:hanging="439"/>
        <w:spacing w:after="0" w:line="282" w:lineRule="auto"/>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984"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Section 15(d) of the Exchange Act that are incorporated by reference in the Registration Statement.</w:t>
      </w:r>
    </w:p>
    <w:p>
      <w:pPr>
        <w:spacing w:after="0" w:line="81" w:lineRule="exact"/>
        <w:rPr>
          <w:sz w:val="20"/>
          <w:szCs w:val="20"/>
          <w:color w:val="auto"/>
        </w:rPr>
      </w:pPr>
    </w:p>
    <w:p>
      <w:pPr>
        <w:ind w:left="964" w:hanging="532"/>
        <w:spacing w:after="0" w:line="266"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9" w:lineRule="exact"/>
        <w:rPr>
          <w:sz w:val="20"/>
          <w:szCs w:val="20"/>
          <w:color w:val="auto"/>
        </w:rPr>
      </w:pPr>
    </w:p>
    <w:p>
      <w:pPr>
        <w:ind w:left="424" w:hanging="424"/>
        <w:spacing w:after="0" w:line="254"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66" w:right="45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Tulsa, state of Oklahoma on May 20,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Mary A. Hausman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 Chief Accounting Officer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Controller</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directors and officers of The Williams Companies, Inc. hereby constitute and appoint T. Lane Wilson, Robert E. Riley, Jr. and Peter S. Burgess, each with full power to act and with full power of substitution and resubstitution, our true and lawful attorneys-in-fact and agents with full power to execute in our name and behalf in the capacities indicated below any and all amendments (including post-effective amendments and amendments thereto) to this registration statement and to file the same, with all exhibits and other documents relating thereto and any registration statement relating to any offering made pursuant to this registration statement that is to be effective upon filing pursuant to Rule 462(b) under the Securities Act with the Securities and Exchange Commission and hereby ratify and confirm all that such attorney-in-fact or his or her substitute shall lawfully do or cause to be done by virtue hereof.</w:t>
      </w:r>
    </w:p>
    <w:p>
      <w:pPr>
        <w:spacing w:after="0" w:line="18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Chad J. Zamarin</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Chad J. Zamarin</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D. Porter</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D. Porter</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A. Hausman</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Chief Accounting Officer and Controller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Mary A. Hausman</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Stephen W. Bergstrom</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Stephen W. Bergstrom</w:t>
            </w:r>
          </w:p>
        </w:tc>
        <w:tc>
          <w:tcPr>
            <w:tcW w:w="4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A. Creel</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A. Creel</w:t>
            </w:r>
          </w:p>
        </w:tc>
        <w:tc>
          <w:tcPr>
            <w:tcW w:w="4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Carri A. Lockhart</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Carri A. Lockhart</w:t>
            </w:r>
          </w:p>
        </w:tc>
        <w:tc>
          <w:tcPr>
            <w:tcW w:w="4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E. Muncrief</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E. Muncrief</w:t>
            </w:r>
          </w:p>
        </w:tc>
        <w:tc>
          <w:tcPr>
            <w:tcW w:w="4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A. Ragauss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Peter A. Ragauss</w:t>
            </w:r>
          </w:p>
        </w:tc>
        <w:tc>
          <w:tcPr>
            <w:tcW w:w="4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Rose M. Robeson</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Rose M. Robeson</w:t>
            </w:r>
          </w:p>
        </w:tc>
        <w:tc>
          <w:tcPr>
            <w:tcW w:w="4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D. Sheffield</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8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Scott D. Sheffield</w:t>
            </w:r>
          </w:p>
        </w:tc>
        <w:tc>
          <w:tcPr>
            <w:tcW w:w="46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ectPr>
          <w:pgSz w:w="11900" w:h="16838" w:orient="portrait"/>
          <w:cols w:equalWidth="0" w:num="1">
            <w:col w:w="10940"/>
          </w:cols>
          <w:pgMar w:left="440" w:top="266" w:right="5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 Spence</w:t>
            </w:r>
          </w:p>
        </w:tc>
        <w:tc>
          <w:tcPr>
            <w:tcW w:w="38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H. Spence</w:t>
            </w: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3"/>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Jesse J. Tyson</w:t>
            </w:r>
          </w:p>
        </w:tc>
        <w:tc>
          <w:tcPr>
            <w:tcW w:w="38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Jesse J. Tyson</w:t>
            </w: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ectPr>
          <w:pgSz w:w="11900" w:h="16838" w:orient="portrait"/>
          <w:cols w:equalWidth="0" w:num="1">
            <w:col w:w="10800"/>
          </w:cols>
          <w:pgMar w:left="440" w:top="270" w:right="6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0274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160274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Williams Companies,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Williams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 74172</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The Williams Companies, Inc.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“Registration Statement”) of The Williams Companies, Inc., a Delaware corporation (the “Company”), to be filed with the Securities and Exchange Commission (the “Commission”) pursuant to the Securities Act of 1933, as amended (the “Securities Act”), in connection with the offering by the Company of (i) up to 49,500,000 shares of the Company’s common stock (“Common Stock”), par value $1.00 per share, under the Company’s 2007 Incentive Plan (as amended and restated, the “Incentive Plan”), including up to 4,500,000 shares of Common Stock that may become available for issuance under the Incentive Plan as a result of outstanding awards that are forfeited, settled in cash or otherwise terminate without the delivery of such shares (the “Incentive Plan Shares”), and (ii) up to 3,600,000 shares of Common Stock (the “ESPP Shares,” and together with the Incentive Plan Shares, the “Shares”), under the Company’s 2007 Employee Stock Purchase Plan (as amended and restated, the “ESPP,” and together with the Incentive Plan, the “Plans”).</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We have examined the originals, or photostatic or certified copies, of such records of the Company and certificates of officers of the Company and of public officials and such other documents as we have deemed relevant and necessary as the basis for the opinions set forth below. In our examination, we have assumed the genuineness of all signatures, the legal capacity and competency of all natural persons, the authenticity of all documents submitted to us as originals and the conformity to original documents of all documents submitted to us as copies. We have also assumed that there are no agreements or understandings between or among the Company and any participants in the Plans that would expand, modify or otherwise affect the terms of the Plans or the respective rights or obligations of the participants thereunder. Finally, we have assumed the accuracy of all other information provided to us by the Company during the course of our investigations, on which we have relied in issuing the opinion expressed below.</w:t>
      </w:r>
    </w:p>
    <w:p>
      <w:pPr>
        <w:spacing w:after="0" w:line="18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Based upon the foregoing examination and in reliance thereon, and subject to the qualifications, assumptions and limitations stated herein and in reliance on the statements of fact contained in the documents that we have examined, we are of the opinion that the Shares, when issued and sold in accordance with the terms set forth in the Plans, as applicable, and against payment therefor in accordance with the terms of the Plans, and when the Registration Statement has become effective under the Securities Act, will be validly issued, fully paid and non-assessable.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Gibson, Dunn &amp; Crutcher LLP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 Park Avenue | New York, NY 10166-0193 | T: 212.351.4000 | F: 212.351.4035 | gibsondunn.com</w:t>
      </w:r>
    </w:p>
    <w:p>
      <w:pPr>
        <w:sectPr>
          <w:pgSz w:w="11900" w:h="16838" w:orient="portrait"/>
          <w:cols w:equalWidth="0" w:num="1">
            <w:col w:w="11020"/>
          </w:cols>
          <w:pgMar w:left="440" w:top="117"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0274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602740" cy="257175"/>
                    </a:xfrm>
                    <a:prstGeom prst="rect">
                      <a:avLst/>
                    </a:prstGeom>
                    <a:noFill/>
                  </pic:spPr>
                </pic:pic>
              </a:graphicData>
            </a:graphic>
          </wp:anchor>
        </w:drawing>
        <w:t>May 20,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render no opinion herein as to matters involving the laws of any jurisdiction other than the Delaware General Corporation Law. We are not admitted to practice in the State of Delaware; however, we are generally familiar with the Delaware General Corporation Law as currently in effect and have made such inquiries as we consider necessary to render this opinion. This opinion is limited to the effect of the current state of the Delaware General Corporation Law and the facts as they currently exist. We assume no obligation to revise or supplement this opinion in the event of future changes in such laws or the interpretations thereof or such facts.</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in the Registration Statement and the prospectus that forms a part thereof. In giving these consents, we do not thereby admit that we are within the category of persons whose consent is required under Section 7 of the Securities Act or the Rules and Regulations of the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Gibson, Dunn &amp; Crutcher LLP</w:t>
      </w:r>
    </w:p>
    <w:p>
      <w:pPr>
        <w:sectPr>
          <w:pgSz w:w="11900" w:h="16838" w:orient="portrait"/>
          <w:cols w:equalWidth="0" w:num="1">
            <w:col w:w="10940"/>
          </w:cols>
          <w:pgMar w:left="440" w:top="891" w:right="5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Williams Companies, Inc. 2007 Incentive Plan and Amended and Restated 2007 Employee Stock Purchase Plan, of our reports dated February 24, 2026, with respect to the consolidated financial statements and schedule of The Williams Companies, Inc., and the effectiveness of internal control over financial reporting of The Williams Companies, Inc., included in its Annual Report (Form 10-K) for the year ended December 31, 2025, filed with the Securities and Exchange Commission.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ectPr>
          <w:pgSz w:w="11900" w:h="16838" w:orient="portrait"/>
          <w:cols w:equalWidth="0" w:num="1">
            <w:col w:w="11020"/>
          </w:cols>
          <w:pgMar w:left="440" w:top="117" w:right="439" w:bottom="1440" w:gutter="0" w:footer="0" w:header="0"/>
        </w:sectPr>
      </w:pPr>
    </w:p>
    <w:bookmarkStart w:id="9" w:name="page10"/>
    <w:bookmarkEnd w:id="9"/>
    <w:p>
      <w:pPr>
        <w:ind w:left="3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of The Williams Companies, Inc. pertaining to The Williams Companies, Inc. 2007 Incentive Plan and Amended and Restated 2007 Employee Stock Purchase Plan, of our report dated February 24, 2026, with respect to the financial statements of Northwest Pipeline LLC, included in The Williams Companies, Inc.’s Annual Report (Form 10-K) for the year ended December 31, 2025,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ectPr>
          <w:pgSz w:w="11900" w:h="16838" w:orient="portrait"/>
          <w:cols w:equalWidth="0" w:num="1">
            <w:col w:w="10640"/>
          </w:cols>
          <w:pgMar w:left="440" w:top="266" w:right="819" w:bottom="1440" w:gutter="0" w:footer="0" w:header="0"/>
        </w:sectPr>
      </w:pPr>
    </w:p>
    <w:bookmarkStart w:id="10" w:name="page11"/>
    <w:bookmarkEnd w:id="10"/>
    <w:p>
      <w:pPr>
        <w:ind w:left="3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of The Williams Companies, Inc. pertaining to The Williams Companies, Inc. 2007 Incentive Plan and Amended and Restated 2007 Employee Stock Purchase Plan, of our report dated February 24, 2026, with respect to the financial statements of Transcontinental Gas Pipe Line Company, LLC, included in The Williams Companies, Inc.’s Annual Report (Form 10-K) for the year ended December 31, 2025,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2026</w:t>
      </w:r>
    </w:p>
    <w:p>
      <w:pPr>
        <w:sectPr>
          <w:pgSz w:w="11900" w:h="16838" w:orient="portrait"/>
          <w:cols w:equalWidth="0" w:num="1">
            <w:col w:w="10640"/>
          </w:cols>
          <w:pgMar w:left="440" w:top="266" w:right="8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2"/>
        </w:trPr>
        <w:tc>
          <w:tcPr>
            <w:tcW w:w="110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20" w:type="dxa"/>
            <w:vAlign w:val="bottom"/>
            <w:tcBorders>
              <w:top w:val="single" w:sz="8" w:color="auto"/>
              <w:right w:val="single" w:sz="8" w:color="auto"/>
            </w:tcBorders>
          </w:tcPr>
          <w:p>
            <w:pPr>
              <w:spacing w:after="0"/>
              <w:rPr>
                <w:sz w:val="12"/>
                <w:szCs w:val="12"/>
                <w:color w:val="auto"/>
              </w:rPr>
            </w:pPr>
          </w:p>
        </w:tc>
        <w:tc>
          <w:tcPr>
            <w:tcW w:w="178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7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96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7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r>
      <w:tr>
        <w:trPr>
          <w:trHeight w:val="176"/>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r>
      <w:tr>
        <w:trPr>
          <w:trHeight w:val="211"/>
        </w:trPr>
        <w:tc>
          <w:tcPr>
            <w:tcW w:w="1100" w:type="dxa"/>
            <w:vAlign w:val="bottom"/>
            <w:tcBorders>
              <w:left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 par</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w:t>
            </w:r>
          </w:p>
        </w:tc>
        <w:tc>
          <w:tcPr>
            <w:tcW w:w="9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41"/>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457(a)</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53,100,000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$75.18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$3,992,058,000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$138.10 per $1,000,000</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$551,303.21</w:t>
            </w:r>
          </w:p>
        </w:tc>
      </w:tr>
      <w:tr>
        <w:trPr>
          <w:trHeight w:val="241"/>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700" w:type="dxa"/>
            <w:vAlign w:val="bottom"/>
            <w:tcBorders>
              <w:bottom w:val="single" w:sz="8" w:color="auto"/>
              <w:right w:val="single" w:sz="8" w:color="auto"/>
            </w:tcBorders>
            <w:gridSpan w:val="3"/>
          </w:tcPr>
          <w:p>
            <w:pPr>
              <w:jc w:val="center"/>
              <w:ind w:right="508"/>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$3,992,058,000</w:t>
            </w:r>
          </w:p>
        </w:tc>
        <w:tc>
          <w:tcPr>
            <w:tcW w:w="17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$551,303.21</w:t>
            </w:r>
          </w:p>
        </w:tc>
      </w:tr>
      <w:tr>
        <w:trPr>
          <w:trHeight w:val="237"/>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9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left="277"/>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96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$551,303.21</w:t>
            </w:r>
          </w:p>
        </w:tc>
      </w:tr>
    </w:tbl>
    <w:p>
      <w:pPr>
        <w:spacing w:after="0" w:line="225" w:lineRule="exact"/>
        <w:rPr>
          <w:sz w:val="20"/>
          <w:szCs w:val="20"/>
          <w:color w:val="auto"/>
        </w:rPr>
      </w:pPr>
    </w:p>
    <w:p>
      <w:pPr>
        <w:ind w:left="424" w:right="4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Registered represents 49,500,000 shares of common stock, par value $1.00 per share (the “Common Stock”) of The Williams Companies, Inc. (the “Registrant”) issuable under the Registrant’s 2007 Incentive Plan (as amended and restated, the “Incentive Plan”), including 4,500,000 shares of Common Stock that may become available for issuance under the Incentive Plan as a result of outstanding awards that are forfeited, settled in cash or otherwise terminate without the delivery of such shares, and 3,600,000 shares of Common Stock issuable under the Registrant’s 2007 Employee Stock Purchase Plan (as amended and restated, the “ESPP,” and together with the Incentive Plan, the “Plans”). Pursuant to Rule 416(a) under the Securities Act of 1933, as amended (the “Securities Act”), this Registration Statement on Form S-8 shall also cover any additional shares of Common Stock that become issuable under the Plans to prevent dilution in the event of stock splits, stock dividends or similar transactions. The Proposed Maximum Offering Price Per Unit has been estimated solely for the purpose of calculating the registration fee pursuant to Rules 457(c) and (h) of the Securities Act, and is based on the average of the high and low sale prices of the Common Stock, as quoted on The New York Stock Exchange, on May 13, 2026.</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2"/>
    </w:lvl>
  </w:abstractNum>
  <w:abstractNum w:abstractNumId="3">
    <w:nsid w:val="46E87CCD"/>
    <w:multiLevelType w:val="hybridMultilevel"/>
    <w:lvl w:ilvl="0">
      <w:lvlJc w:val="left"/>
      <w:lvlText w:val="(%1)"/>
      <w:numFmt w:val="lowerLetter"/>
      <w:start w:val="2"/>
    </w:lvl>
    <w:lvl w:ilvl="1">
      <w:lvlJc w:val="left"/>
      <w:lvlText w:val="%2"/>
      <w:numFmt w:val="decimal"/>
      <w:start w:val="1"/>
    </w:lvl>
  </w:abstractNum>
  <w:abstractNum w:abstractNumId="4">
    <w:nsid w:val="3D1B58BA"/>
    <w:multiLevelType w:val="hybridMultilevel"/>
    <w:lvl w:ilvl="0">
      <w:lvlJc w:val="left"/>
      <w:lvlText w:val="(%1)"/>
      <w:numFmt w:val="lowerLetter"/>
      <w:start w:val="8"/>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6"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jpeg"/><Relationship Id="rId37" Type="http://schemas.openxmlformats.org/officeDocument/2006/relationships/image" Target="media/image18.png"/><Relationship Id="rId38" Type="http://schemas.openxmlformats.org/officeDocument/2006/relationships/image" Target="media/image19.jpeg"/><Relationship Id="rId39" Type="http://schemas.openxmlformats.org/officeDocument/2006/relationships/image" Target="media/image20.png"/><Relationship Id="rId40" Type="http://schemas.openxmlformats.org/officeDocument/2006/relationships/image" Target="media/image21.png"/><Relationship Id="rId19" Type="http://schemas.openxmlformats.org/officeDocument/2006/relationships/hyperlink" Target="http://www.sec.gov/ix?doc=/Archives/edgar/data/99250/000010726326000006/wmb-20251231.htm" TargetMode="External"/><Relationship Id="rId20" Type="http://schemas.openxmlformats.org/officeDocument/2006/relationships/hyperlink" Target="http://www.sec.gov/ix?doc=/Archives/edgar/data/107263/000010726326000017/wmb-20260331.htm" TargetMode="External"/><Relationship Id="rId21" Type="http://schemas.openxmlformats.org/officeDocument/2006/relationships/hyperlink" Target="http://www.sec.gov/ix?doc=/Archives/edgar/data/107263/000119312526007085/d56301d8k.htm" TargetMode="External"/><Relationship Id="rId22" Type="http://schemas.openxmlformats.org/officeDocument/2006/relationships/hyperlink" Target="http://www.sec.gov/ix?doc=/Archives/edgar/data/107263/000119312526007722/d33935d8k.htm" TargetMode="External"/><Relationship Id="rId23" Type="http://schemas.openxmlformats.org/officeDocument/2006/relationships/hyperlink" Target="http://www.sec.gov/ix?doc=/Archives/edgar/data/107263/000010726326000008/wmb-20260326.htm" TargetMode="External"/><Relationship Id="rId24" Type="http://schemas.openxmlformats.org/officeDocument/2006/relationships/hyperlink" Target="http://www.sec.gov/ix?doc=/Archives/edgar/data/107263/000010726326000013/wmb-20260504.htm" TargetMode="External"/><Relationship Id="rId25" Type="http://schemas.openxmlformats.org/officeDocument/2006/relationships/hyperlink" Target="http://www.sec.gov/Archives/edgar/data/107263/000010726323000007/wmb_20221231x10kxex435.htm" TargetMode="External"/><Relationship Id="rId27" Type="http://schemas.openxmlformats.org/officeDocument/2006/relationships/hyperlink" Target="http://www.sec.gov/Archives/edgar/data/107263/000095012310053200/c58430exv3wxiy1.htm" TargetMode="External"/><Relationship Id="rId28" Type="http://schemas.openxmlformats.org/officeDocument/2006/relationships/hyperlink" Target="http://www.sec.gov/Archives/edgar/data/107263/000119312518246104/d599321dex31.htm" TargetMode="External"/><Relationship Id="rId29" Type="http://schemas.openxmlformats.org/officeDocument/2006/relationships/hyperlink" Target="http://www.sec.gov/Archives/edgar/data/107263/000010726322000030/wmb_20220930xex34.htm" TargetMode="External"/><Relationship Id="rId30" Type="http://schemas.openxmlformats.org/officeDocument/2006/relationships/hyperlink" Target="http://www.sec.gov/Archives/edgar/data/107263/000010726326000013/wmb_20260504xreleasexex101.htm" TargetMode="External"/><Relationship Id="rId31" Type="http://schemas.openxmlformats.org/officeDocument/2006/relationships/hyperlink" Target="http://www.sec.gov/ix?doc=/Archives/edgar/data/107263/000119312526112643/wmb-20260317.htm#appendix_c"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2026-05-20T08:07:57Z</dcterms:created>
  <dcterms:modified xsi:type="dcterms:W3CDTF">2026-05-20T08:07:57Z</dcterms:modified>
</cp:coreProperties>
</file>